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CE" w:rsidRDefault="00004D89" w:rsidP="00340ACE">
      <w:pPr>
        <w:widowControl w:val="0"/>
        <w:tabs>
          <w:tab w:val="right" w:pos="10336"/>
        </w:tabs>
        <w:autoSpaceDE w:val="0"/>
        <w:autoSpaceDN w:val="0"/>
        <w:adjustRightInd w:val="0"/>
        <w:spacing w:after="0" w:line="240" w:lineRule="auto"/>
        <w:jc w:val="center"/>
        <w:rPr>
          <w:rFonts w:ascii="PortagoITC TT" w:hAnsi="PortagoITC TT" w:cs="PortagoITC TT"/>
          <w:color w:val="464646"/>
          <w:spacing w:val="-7"/>
          <w:kern w:val="1"/>
          <w:sz w:val="64"/>
          <w:szCs w:val="64"/>
        </w:rPr>
      </w:pPr>
      <w:r>
        <w:rPr>
          <w:rFonts w:ascii="PortagoITC TT" w:hAnsi="PortagoITC TT" w:cs="PortagoITC TT"/>
          <w:noProof/>
          <w:color w:val="464646"/>
          <w:spacing w:val="-7"/>
          <w:kern w:val="1"/>
          <w:sz w:val="64"/>
          <w:szCs w:val="6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153035</wp:posOffset>
            </wp:positionV>
            <wp:extent cx="6477000" cy="2247900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ACE" w:rsidRDefault="00340ACE" w:rsidP="00340ACE">
      <w:pPr>
        <w:widowControl w:val="0"/>
        <w:tabs>
          <w:tab w:val="right" w:pos="10336"/>
        </w:tabs>
        <w:autoSpaceDE w:val="0"/>
        <w:autoSpaceDN w:val="0"/>
        <w:adjustRightInd w:val="0"/>
        <w:spacing w:after="0" w:line="240" w:lineRule="auto"/>
        <w:jc w:val="center"/>
        <w:rPr>
          <w:rFonts w:ascii="PortagoITC TT" w:hAnsi="PortagoITC TT" w:cs="PortagoITC TT"/>
          <w:color w:val="464646"/>
          <w:spacing w:val="-7"/>
          <w:kern w:val="1"/>
          <w:sz w:val="64"/>
          <w:szCs w:val="64"/>
        </w:rPr>
      </w:pPr>
    </w:p>
    <w:p w:rsidR="00606904" w:rsidRPr="00F16392" w:rsidRDefault="00340ACE" w:rsidP="00606904">
      <w:pPr>
        <w:widowControl w:val="0"/>
        <w:tabs>
          <w:tab w:val="right" w:pos="10336"/>
        </w:tabs>
        <w:autoSpaceDE w:val="0"/>
        <w:autoSpaceDN w:val="0"/>
        <w:adjustRightInd w:val="0"/>
        <w:spacing w:after="0" w:line="240" w:lineRule="auto"/>
        <w:rPr>
          <w:rFonts w:ascii="PortagoITC TT" w:hAnsi="PortagoITC TT" w:cs="PortagoITC TT"/>
          <w:color w:val="464646"/>
          <w:spacing w:val="-7"/>
          <w:kern w:val="1"/>
          <w:sz w:val="152"/>
          <w:szCs w:val="152"/>
        </w:rPr>
      </w:pPr>
      <w:r>
        <w:rPr>
          <w:rFonts w:ascii="PortagoITC TT" w:hAnsi="PortagoITC TT" w:cs="PortagoITC TT"/>
          <w:color w:val="464646"/>
          <w:spacing w:val="-7"/>
          <w:kern w:val="1"/>
          <w:sz w:val="64"/>
          <w:szCs w:val="64"/>
        </w:rPr>
        <w:t xml:space="preserve">  </w:t>
      </w:r>
      <w:r w:rsidRPr="00F16392">
        <w:rPr>
          <w:rFonts w:ascii="PortagoITC TT" w:hAnsi="PortagoITC TT" w:cs="PortagoITC TT"/>
          <w:color w:val="464646"/>
          <w:spacing w:val="-7"/>
          <w:kern w:val="1"/>
          <w:sz w:val="152"/>
          <w:szCs w:val="152"/>
        </w:rPr>
        <w:t>Akcelerator</w:t>
      </w:r>
    </w:p>
    <w:p w:rsidR="00606904" w:rsidRPr="00606904" w:rsidRDefault="00606904" w:rsidP="00340ACE">
      <w:pPr>
        <w:widowControl w:val="0"/>
        <w:tabs>
          <w:tab w:val="right" w:pos="10336"/>
        </w:tabs>
        <w:autoSpaceDE w:val="0"/>
        <w:autoSpaceDN w:val="0"/>
        <w:adjustRightInd w:val="0"/>
        <w:spacing w:after="0" w:line="240" w:lineRule="auto"/>
        <w:jc w:val="center"/>
        <w:rPr>
          <w:rFonts w:ascii="PortagoITC TT" w:hAnsi="PortagoITC TT" w:cs="PortagoITC TT"/>
          <w:color w:val="464646"/>
          <w:spacing w:val="-7"/>
          <w:kern w:val="1"/>
          <w:sz w:val="16"/>
          <w:szCs w:val="64"/>
        </w:rPr>
      </w:pPr>
    </w:p>
    <w:p w:rsidR="00340ACE" w:rsidRPr="00F16392" w:rsidRDefault="00340ACE" w:rsidP="00340ACE">
      <w:pPr>
        <w:widowControl w:val="0"/>
        <w:tabs>
          <w:tab w:val="right" w:pos="10336"/>
        </w:tabs>
        <w:autoSpaceDE w:val="0"/>
        <w:autoSpaceDN w:val="0"/>
        <w:adjustRightInd w:val="0"/>
        <w:spacing w:after="0" w:line="240" w:lineRule="auto"/>
        <w:jc w:val="center"/>
        <w:rPr>
          <w:rFonts w:ascii="PortagoITC TT" w:hAnsi="PortagoITC TT" w:cs="PortagoITC TT"/>
          <w:color w:val="464646"/>
          <w:spacing w:val="-7"/>
          <w:kern w:val="1"/>
          <w:sz w:val="60"/>
          <w:szCs w:val="60"/>
        </w:rPr>
      </w:pPr>
      <w:r w:rsidRPr="00F16392">
        <w:rPr>
          <w:rFonts w:ascii="PortagoITC TT" w:hAnsi="PortagoITC TT" w:cs="PortagoITC TT"/>
          <w:color w:val="464646"/>
          <w:spacing w:val="-7"/>
          <w:kern w:val="1"/>
          <w:sz w:val="60"/>
          <w:szCs w:val="60"/>
        </w:rPr>
        <w:t>d</w:t>
      </w:r>
      <w:r w:rsidRPr="00F16392">
        <w:rPr>
          <w:rFonts w:ascii="PortagoITC TT" w:hAnsi="PortagoITC TT" w:cs="PortagoITC TT"/>
          <w:spacing w:val="-7"/>
          <w:kern w:val="1"/>
          <w:sz w:val="60"/>
          <w:szCs w:val="60"/>
        </w:rPr>
        <w:t>y</w:t>
      </w:r>
      <w:r w:rsidRPr="00F16392">
        <w:rPr>
          <w:rFonts w:ascii="PortagoITC TT" w:hAnsi="PortagoITC TT" w:cs="PortagoITC TT"/>
          <w:color w:val="464646"/>
          <w:spacing w:val="-7"/>
          <w:kern w:val="1"/>
          <w:sz w:val="60"/>
          <w:szCs w:val="60"/>
        </w:rPr>
        <w:t>namic program za d</w:t>
      </w:r>
      <w:r w:rsidRPr="00F16392">
        <w:rPr>
          <w:rFonts w:ascii="PortagoITC TT" w:hAnsi="PortagoITC TT" w:cs="PortagoITC TT"/>
          <w:spacing w:val="-7"/>
          <w:kern w:val="1"/>
          <w:sz w:val="60"/>
          <w:szCs w:val="60"/>
        </w:rPr>
        <w:t>y</w:t>
      </w:r>
      <w:r w:rsidRPr="00F16392">
        <w:rPr>
          <w:rFonts w:ascii="PortagoITC TT" w:hAnsi="PortagoITC TT" w:cs="PortagoITC TT"/>
          <w:color w:val="464646"/>
          <w:spacing w:val="-7"/>
          <w:kern w:val="1"/>
          <w:sz w:val="60"/>
          <w:szCs w:val="60"/>
        </w:rPr>
        <w:t>namic generaciju...</w:t>
      </w:r>
    </w:p>
    <w:p w:rsidR="00340ACE" w:rsidRPr="00F16392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jc w:val="center"/>
        <w:rPr>
          <w:rFonts w:ascii="Helvetica Neue" w:hAnsi="Helvetica Neue" w:cs="Helvetica Neue"/>
          <w:color w:val="FFFFFF"/>
          <w:sz w:val="28"/>
          <w:szCs w:val="28"/>
        </w:rPr>
      </w:pPr>
      <w:r w:rsidRPr="00F16392">
        <w:rPr>
          <w:rFonts w:ascii="Herculanum" w:hAnsi="Herculanum" w:cs="Herculanum"/>
          <w:color w:val="D12300"/>
          <w:sz w:val="28"/>
          <w:szCs w:val="28"/>
        </w:rPr>
        <w:t xml:space="preserve">8 x tjedan + 6 x tim + 5 x </w:t>
      </w:r>
      <w:r w:rsidR="00F16392">
        <w:rPr>
          <w:rFonts w:ascii="Arial" w:hAnsi="Arial" w:cs="Arial"/>
          <w:color w:val="D12300"/>
          <w:sz w:val="28"/>
          <w:szCs w:val="28"/>
        </w:rPr>
        <w:t>č</w:t>
      </w:r>
      <w:r w:rsidRPr="00F16392">
        <w:rPr>
          <w:rFonts w:ascii="Herculanum" w:hAnsi="Herculanum" w:cs="Herculanum"/>
          <w:color w:val="D12300"/>
          <w:sz w:val="28"/>
          <w:szCs w:val="28"/>
        </w:rPr>
        <w:t>lan + 5 x managersko podru</w:t>
      </w:r>
      <w:r w:rsidR="00F16392">
        <w:rPr>
          <w:rFonts w:ascii="Arial" w:hAnsi="Arial" w:cs="Arial"/>
          <w:color w:val="D12300"/>
          <w:sz w:val="28"/>
          <w:szCs w:val="28"/>
        </w:rPr>
        <w:t>č</w:t>
      </w:r>
      <w:r w:rsidR="00F16392">
        <w:rPr>
          <w:rFonts w:ascii="Herculanum" w:hAnsi="Herculanum" w:cs="Herculanum"/>
          <w:color w:val="D12300"/>
          <w:sz w:val="28"/>
          <w:szCs w:val="28"/>
        </w:rPr>
        <w:t xml:space="preserve">je + </w:t>
      </w:r>
      <w:r w:rsidRPr="00F16392">
        <w:rPr>
          <w:rFonts w:ascii="Herculanum" w:hAnsi="Herculanum" w:cs="Herculanum"/>
          <w:color w:val="D12300"/>
          <w:sz w:val="28"/>
          <w:szCs w:val="28"/>
        </w:rPr>
        <w:t>5 x vještina + 4 x kompanija + 4 x projekat = 30 x pobjednik</w:t>
      </w:r>
    </w:p>
    <w:p w:rsidR="00340ACE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360"/>
        <w:rPr>
          <w:rFonts w:ascii="Arial" w:hAnsi="Arial" w:cs="Arial"/>
          <w:color w:val="000000"/>
          <w:sz w:val="20"/>
          <w:szCs w:val="20"/>
        </w:rPr>
      </w:pPr>
    </w:p>
    <w:p w:rsidR="00340ACE" w:rsidRPr="00606904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360"/>
        <w:rPr>
          <w:rFonts w:ascii="Arial" w:hAnsi="Arial" w:cs="Arial"/>
          <w:color w:val="000000"/>
          <w:sz w:val="21"/>
          <w:szCs w:val="20"/>
        </w:rPr>
      </w:pPr>
      <w:r w:rsidRPr="00606904">
        <w:rPr>
          <w:rFonts w:ascii="Arial" w:hAnsi="Arial" w:cs="Arial"/>
          <w:color w:val="000000"/>
          <w:sz w:val="21"/>
          <w:szCs w:val="20"/>
        </w:rPr>
        <w:t xml:space="preserve">Akcelerator nudi svojim polaznicima stjecanje ključnih poslovnih znanja i  vještina kroz terenski konzultantski rad na stvarnim projektima. Pored razredne nastave od 300 kontakt sati, Akceleratorovi polaznici svakodnevno rade na konkrentim poslovnim problemima koje imaju organizacije s kojima surađujemo. Istražuju, analiziraju, zaključuju i prezentiraju konkretna rješenja do kojih su došli. </w:t>
      </w:r>
    </w:p>
    <w:p w:rsidR="00340ACE" w:rsidRPr="00606904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360"/>
        <w:rPr>
          <w:rFonts w:ascii="Arial" w:hAnsi="Arial" w:cs="Arial"/>
          <w:color w:val="000000"/>
          <w:sz w:val="21"/>
          <w:szCs w:val="20"/>
        </w:rPr>
      </w:pPr>
    </w:p>
    <w:p w:rsidR="00340ACE" w:rsidRPr="00606904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360"/>
        <w:rPr>
          <w:rFonts w:ascii="Arial" w:hAnsi="Arial" w:cs="Arial"/>
          <w:color w:val="000000"/>
          <w:sz w:val="21"/>
          <w:szCs w:val="20"/>
        </w:rPr>
      </w:pPr>
      <w:r w:rsidRPr="00606904">
        <w:rPr>
          <w:rFonts w:ascii="Arial" w:hAnsi="Arial" w:cs="Arial"/>
          <w:color w:val="000000"/>
          <w:sz w:val="21"/>
          <w:szCs w:val="20"/>
        </w:rPr>
        <w:t xml:space="preserve">Akcelerator odlikuje njegov dinamički pristup i fokusiranost na učenje u stvarnom okruženju kroz suočavanje sa stvarnom poslovnom problematikom. Polaznici će na 8 tjedana morati postati “konzultanti” u različitim područjima i uz upotrebu novih znanja, vlastite kreativnosti i energije svojim “klijentima” pronaći i prezentirati rješenja. </w:t>
      </w:r>
    </w:p>
    <w:p w:rsidR="00340ACE" w:rsidRPr="00606904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360"/>
        <w:rPr>
          <w:rFonts w:ascii="Arial" w:hAnsi="Arial" w:cs="Arial"/>
          <w:color w:val="000000"/>
          <w:sz w:val="21"/>
          <w:szCs w:val="20"/>
        </w:rPr>
      </w:pPr>
    </w:p>
    <w:p w:rsidR="00340ACE" w:rsidRPr="00606904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" w:line="264" w:lineRule="auto"/>
        <w:ind w:firstLine="360"/>
        <w:rPr>
          <w:rFonts w:ascii="Arial" w:hAnsi="Arial" w:cs="Arial"/>
          <w:color w:val="000000"/>
          <w:sz w:val="21"/>
          <w:szCs w:val="20"/>
        </w:rPr>
      </w:pPr>
      <w:r w:rsidRPr="00606904">
        <w:rPr>
          <w:rFonts w:ascii="Arial" w:hAnsi="Arial" w:cs="Arial"/>
          <w:color w:val="000000"/>
          <w:sz w:val="21"/>
          <w:szCs w:val="20"/>
        </w:rPr>
        <w:t xml:space="preserve">Program ima trostruki fokus: upravljanje tvrtkom, upravljanje ljudima i upravljanje sobom. Upravljanje tvrtkom pokriva glavna područja poslovne administracije: marketing, računovodstvo, financije, strategiju, operativni management, upravljanje projektima i prodaju. </w:t>
      </w:r>
    </w:p>
    <w:p w:rsidR="00340ACE" w:rsidRPr="00606904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" w:line="264" w:lineRule="auto"/>
        <w:ind w:firstLine="360"/>
        <w:rPr>
          <w:rFonts w:ascii="Arial" w:hAnsi="Arial" w:cs="Arial"/>
          <w:color w:val="000000"/>
          <w:sz w:val="21"/>
          <w:szCs w:val="20"/>
        </w:rPr>
      </w:pPr>
    </w:p>
    <w:p w:rsidR="00340ACE" w:rsidRPr="00606904" w:rsidRDefault="00340ACE" w:rsidP="00340A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" w:line="264" w:lineRule="auto"/>
        <w:ind w:firstLine="360"/>
        <w:rPr>
          <w:rFonts w:ascii="Arial" w:hAnsi="Arial" w:cs="Arial"/>
          <w:color w:val="000000"/>
          <w:sz w:val="21"/>
          <w:szCs w:val="20"/>
        </w:rPr>
      </w:pPr>
      <w:r w:rsidRPr="00606904">
        <w:rPr>
          <w:rFonts w:ascii="Arial" w:hAnsi="Arial" w:cs="Arial"/>
          <w:color w:val="000000"/>
          <w:sz w:val="21"/>
          <w:szCs w:val="20"/>
        </w:rPr>
        <w:t>Upravljanje ljudima pokriva područja najvažnijih vještina koje budući profesionalac mora razviti kako bi maksimalizirao svoj radni potencijal: komunikacijske vještine, prezentacijske i govorničke vještine, struktuiranje problema, dinamika timova, pregovaranje, mjerenje učinkovitosti i motiviranje drugih.Upravljanje sobom je vjerojatno najvažniji dio programa i sastoji se od treninga u sljedećim područjima: psihologija uspjeha, postavljanje ciljeva, donošenje odluka, kreativnost, upravljanje stresom i vremenom.</w:t>
      </w:r>
    </w:p>
    <w:sectPr w:rsidR="00340ACE" w:rsidRPr="00606904" w:rsidSect="00F16392">
      <w:headerReference w:type="default" r:id="rId9"/>
      <w:footerReference w:type="default" r:id="rId10"/>
      <w:pgSz w:w="11906" w:h="16838"/>
      <w:pgMar w:top="2095" w:right="851" w:bottom="2835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2F" w:rsidRDefault="0078142F" w:rsidP="0044586D">
      <w:pPr>
        <w:spacing w:after="0" w:line="240" w:lineRule="auto"/>
      </w:pPr>
      <w:r>
        <w:separator/>
      </w:r>
    </w:p>
  </w:endnote>
  <w:endnote w:type="continuationSeparator" w:id="0">
    <w:p w:rsidR="0078142F" w:rsidRDefault="0078142F" w:rsidP="0044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rtago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rculanum">
    <w:altName w:val="Copperplate Gothic Bold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89" w:rsidRDefault="00004D89">
    <w:pPr>
      <w:pStyle w:val="Footer"/>
    </w:pPr>
    <w:r w:rsidRPr="00350567">
      <w:rPr>
        <w:noProof/>
        <w:lang w:eastAsia="hr-H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1459865</wp:posOffset>
          </wp:positionH>
          <wp:positionV relativeFrom="paragraph">
            <wp:posOffset>-1089025</wp:posOffset>
          </wp:positionV>
          <wp:extent cx="533400" cy="371475"/>
          <wp:effectExtent l="19050" t="0" r="0" b="0"/>
          <wp:wrapThrough wrapText="bothSides">
            <wp:wrapPolygon edited="0">
              <wp:start x="-771" y="0"/>
              <wp:lineTo x="-771" y="21046"/>
              <wp:lineTo x="21600" y="21046"/>
              <wp:lineTo x="21600" y="0"/>
              <wp:lineTo x="-771" y="0"/>
            </wp:wrapPolygon>
          </wp:wrapThrough>
          <wp:docPr id="19" name="Picture 8" descr="flag_2colo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flag_2colo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0567">
      <w:rPr>
        <w:noProof/>
        <w:lang w:eastAsia="hr-H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-1089025</wp:posOffset>
          </wp:positionV>
          <wp:extent cx="603885" cy="504825"/>
          <wp:effectExtent l="19050" t="0" r="5715" b="0"/>
          <wp:wrapThrough wrapText="bothSides">
            <wp:wrapPolygon edited="0">
              <wp:start x="-681" y="0"/>
              <wp:lineTo x="-681" y="21192"/>
              <wp:lineTo x="21804" y="21192"/>
              <wp:lineTo x="21804" y="0"/>
              <wp:lineTo x="-681" y="0"/>
            </wp:wrapPolygon>
          </wp:wrapThrough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klad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388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F55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09.2pt;margin-top:-89.5pt;width:109.25pt;height:133.5pt;z-index:251669504;mso-position-horizontal-relative:text;mso-position-vertical-relative:text;mso-width-relative:margin;mso-height-relative:margin" stroked="f">
          <v:textbox style="mso-next-textbox:#_x0000_s2060">
            <w:txbxContent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                   </w:t>
                </w:r>
                <w:r>
                  <w:rPr>
                    <w:sz w:val="16"/>
                    <w:szCs w:val="16"/>
                  </w:rPr>
                  <w:t xml:space="preserve">    Ovaj projekt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financira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Europska unija 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Delegacija Europske unije u Republici Hrvatskoj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Adresa: Trg žrtava fašizma 6,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10000 Zagreb</w:t>
                </w: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Tel: 00 385 (0) </w:t>
                </w:r>
                <w:r>
                  <w:rPr>
                    <w:sz w:val="16"/>
                    <w:szCs w:val="16"/>
                  </w:rPr>
                  <w:t xml:space="preserve">1 </w:t>
                </w:r>
                <w:r w:rsidRPr="002615A8">
                  <w:rPr>
                    <w:sz w:val="16"/>
                    <w:szCs w:val="16"/>
                  </w:rPr>
                  <w:t>4896 500</w:t>
                </w: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Fax: 00 385 (0) </w:t>
                </w:r>
                <w:r>
                  <w:rPr>
                    <w:sz w:val="16"/>
                    <w:szCs w:val="16"/>
                  </w:rPr>
                  <w:t>1 4896 555</w:t>
                </w: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45F55">
      <w:rPr>
        <w:noProof/>
        <w:lang w:eastAsia="hr-HR"/>
      </w:rPr>
      <w:pict>
        <v:shape id="_x0000_s2059" type="#_x0000_t202" style="position:absolute;margin-left:-9.9pt;margin-top:-89.5pt;width:109.25pt;height:133.5pt;z-index:251668480;mso-position-horizontal-relative:text;mso-position-vertical-relative:text;mso-width-relative:margin;mso-height-relative:margin" stroked="f">
          <v:textbox style="mso-next-textbox:#_x0000_s2059">
            <w:txbxContent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                   </w:t>
                </w:r>
                <w:r>
                  <w:rPr>
                    <w:sz w:val="16"/>
                    <w:szCs w:val="16"/>
                  </w:rPr>
                  <w:t xml:space="preserve">    </w:t>
                </w:r>
                <w:r w:rsidRPr="00162230">
                  <w:rPr>
                    <w:sz w:val="16"/>
                    <w:szCs w:val="16"/>
                  </w:rPr>
                  <w:t>Projekt</w:t>
                </w:r>
                <w:r>
                  <w:rPr>
                    <w:sz w:val="16"/>
                    <w:szCs w:val="16"/>
                  </w:rPr>
                  <w:t xml:space="preserve"> provodi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Zaklada za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poticanje 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  <w:t xml:space="preserve">    partnerstva i 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razvoja civilnog društva</w:t>
                </w:r>
                <w:r w:rsidRPr="00162230">
                  <w:rPr>
                    <w:sz w:val="16"/>
                    <w:szCs w:val="16"/>
                  </w:rPr>
                  <w:t xml:space="preserve"> </w:t>
                </w:r>
              </w:p>
              <w:p w:rsidR="00004D89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>Adresa: Mletačka 12/IV</w:t>
                </w:r>
                <w:r>
                  <w:rPr>
                    <w:sz w:val="16"/>
                    <w:szCs w:val="16"/>
                  </w:rPr>
                  <w:t>,</w:t>
                </w: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>52100 Pula</w:t>
                </w: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>Tel: 00 385 (0) 52 212 938</w:t>
                </w: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>Fax: 00 385 (0) 52 381 905</w:t>
                </w:r>
              </w:p>
              <w:p w:rsidR="00004D89" w:rsidRPr="00157537" w:rsidRDefault="00004D89" w:rsidP="00350567">
                <w:pPr>
                  <w:pStyle w:val="NoSpacing"/>
                  <w:rPr>
                    <w:sz w:val="8"/>
                    <w:szCs w:val="8"/>
                  </w:rPr>
                </w:pP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Budget:  EUR 138.382,80 </w:t>
                </w:r>
              </w:p>
              <w:p w:rsidR="00004D89" w:rsidRPr="00162230" w:rsidRDefault="00004D89" w:rsidP="00350567">
                <w:pPr>
                  <w:pStyle w:val="NoSpacing"/>
                  <w:rPr>
                    <w:sz w:val="16"/>
                    <w:szCs w:val="16"/>
                  </w:rPr>
                </w:pPr>
                <w:r w:rsidRPr="00162230">
                  <w:rPr>
                    <w:sz w:val="16"/>
                    <w:szCs w:val="16"/>
                  </w:rPr>
                  <w:t xml:space="preserve">            </w:t>
                </w:r>
                <w:r>
                  <w:rPr>
                    <w:sz w:val="16"/>
                    <w:szCs w:val="16"/>
                  </w:rPr>
                  <w:t xml:space="preserve">    </w:t>
                </w:r>
                <w:r w:rsidRPr="00162230">
                  <w:rPr>
                    <w:sz w:val="16"/>
                    <w:szCs w:val="16"/>
                  </w:rPr>
                  <w:t>HRK 1.010.194,44</w:t>
                </w:r>
              </w:p>
            </w:txbxContent>
          </v:textbox>
        </v:shape>
      </w:pict>
    </w:r>
    <w:r w:rsidR="00C45F55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1.8pt;margin-top:-93.25pt;width:534.75pt;height:.75pt;flip:y;z-index:251666432;mso-position-horizontal-relative:text;mso-position-vertical-relative:text" o:connectortype="straight" strokeweight="1pt"/>
      </w:pict>
    </w:r>
    <w:r w:rsidR="00C45F55">
      <w:rPr>
        <w:noProof/>
        <w:lang w:eastAsia="hr-HR"/>
      </w:rPr>
      <w:pict>
        <v:shape id="_x0000_s2053" type="#_x0000_t202" style="position:absolute;margin-left:223.7pt;margin-top:-80.5pt;width:299.25pt;height:118.5pt;z-index:251665408;mso-position-horizontal-relative:text;mso-position-vertical-relative:text" filled="f" stroked="f">
          <v:textbox style="mso-next-textbox:#_x0000_s2053">
            <w:txbxContent>
              <w:p w:rsidR="00004D89" w:rsidRPr="009D4F83" w:rsidRDefault="00004D89" w:rsidP="009D4F83">
                <w:pPr>
                  <w:spacing w:after="0" w:line="240" w:lineRule="auto"/>
                  <w:jc w:val="both"/>
                  <w:rPr>
                    <w:sz w:val="16"/>
                    <w:szCs w:val="14"/>
                  </w:rPr>
                </w:pPr>
                <w:r w:rsidRPr="009D4F83">
                  <w:rPr>
                    <w:sz w:val="16"/>
                    <w:szCs w:val="14"/>
                  </w:rPr>
                  <w:t>Europska komisija izvršno je tijelo EU.</w:t>
                </w:r>
              </w:p>
              <w:p w:rsidR="00004D89" w:rsidRPr="009D4F83" w:rsidRDefault="00004D89" w:rsidP="009D4F83">
                <w:pPr>
                  <w:spacing w:after="0" w:line="240" w:lineRule="auto"/>
                  <w:jc w:val="both"/>
                  <w:rPr>
                    <w:sz w:val="16"/>
                    <w:szCs w:val="14"/>
                  </w:rPr>
                </w:pPr>
              </w:p>
              <w:p w:rsidR="00004D89" w:rsidRPr="009D4F83" w:rsidRDefault="00004D89" w:rsidP="009D4F83">
                <w:pPr>
                  <w:spacing w:after="0" w:line="240" w:lineRule="auto"/>
                  <w:jc w:val="both"/>
                  <w:rPr>
                    <w:sz w:val="16"/>
                    <w:szCs w:val="14"/>
                  </w:rPr>
                </w:pPr>
                <w:r w:rsidRPr="009D4F83">
                  <w:rPr>
                    <w:sz w:val="16"/>
                    <w:szCs w:val="14"/>
                  </w:rPr>
                  <w:t xml:space="preserve">Europsku uniju čini 27 država članica koje su odlučile postupno povezivati svoja znanja, resurse i sudbine. Zajedno su, tijekom razdoblja proširenja u trajanju od 50 godina, izgradile zonu stabilnosti, demokracije i održivog razvoja zadržavajući pritom kulturalnu raznolikost, toleranciju i individualne slobode. Europska unija posvećena je dijeljenju svojih postignuća i vrijednosti sa zemljama i narodima izvan svojih granica. </w:t>
                </w:r>
              </w:p>
              <w:p w:rsidR="00004D89" w:rsidRPr="009D4F83" w:rsidRDefault="00004D89" w:rsidP="009D4F83">
                <w:pPr>
                  <w:spacing w:after="0" w:line="240" w:lineRule="auto"/>
                  <w:jc w:val="both"/>
                  <w:rPr>
                    <w:sz w:val="16"/>
                    <w:szCs w:val="14"/>
                  </w:rPr>
                </w:pPr>
              </w:p>
              <w:p w:rsidR="00004D89" w:rsidRPr="009D4F83" w:rsidRDefault="00004D89" w:rsidP="009D4F83">
                <w:pPr>
                  <w:spacing w:after="0" w:line="240" w:lineRule="auto"/>
                  <w:jc w:val="both"/>
                  <w:rPr>
                    <w:sz w:val="24"/>
                  </w:rPr>
                </w:pPr>
                <w:r w:rsidRPr="009D4F83">
                  <w:rPr>
                    <w:sz w:val="16"/>
                    <w:szCs w:val="14"/>
                  </w:rPr>
                  <w:t>Ovaj dokument izrađen je uz pomoć Europske unije. Sadržaj ovog dokumenta isključiva je odgovornost Zaklade za poticanje partnerstva i razvoja civilnog društva i ni na koji se način ne može smatrati da odražava gledišta</w:t>
                </w:r>
                <w:r w:rsidRPr="009D4F83">
                  <w:rPr>
                    <w:rFonts w:ascii="Tahoma" w:hAnsi="Tahoma" w:cs="Tahoma"/>
                    <w:szCs w:val="20"/>
                  </w:rPr>
                  <w:t xml:space="preserve"> </w:t>
                </w:r>
                <w:r w:rsidRPr="009D4F83">
                  <w:rPr>
                    <w:sz w:val="16"/>
                    <w:szCs w:val="14"/>
                  </w:rPr>
                  <w:t>Europske unije.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2F" w:rsidRDefault="0078142F" w:rsidP="0044586D">
      <w:pPr>
        <w:spacing w:after="0" w:line="240" w:lineRule="auto"/>
      </w:pPr>
      <w:r>
        <w:separator/>
      </w:r>
    </w:p>
  </w:footnote>
  <w:footnote w:type="continuationSeparator" w:id="0">
    <w:p w:rsidR="0078142F" w:rsidRDefault="0078142F" w:rsidP="0044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89" w:rsidRDefault="00331595">
    <w:pPr>
      <w:pStyle w:val="Header"/>
    </w:pPr>
    <w:r w:rsidRPr="00331595"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2621915</wp:posOffset>
          </wp:positionH>
          <wp:positionV relativeFrom="paragraph">
            <wp:posOffset>-131445</wp:posOffset>
          </wp:positionV>
          <wp:extent cx="1238250" cy="1000125"/>
          <wp:effectExtent l="19050" t="0" r="0" b="0"/>
          <wp:wrapTight wrapText="bothSides">
            <wp:wrapPolygon edited="0">
              <wp:start x="-332" y="0"/>
              <wp:lineTo x="-332" y="21394"/>
              <wp:lineTo x="21600" y="21394"/>
              <wp:lineTo x="21600" y="0"/>
              <wp:lineTo x="-33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0071" t="30915" r="26691" b="25268"/>
                  <a:stretch/>
                </pic:blipFill>
                <pic:spPr bwMode="auto"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-316865</wp:posOffset>
          </wp:positionV>
          <wp:extent cx="662940" cy="932180"/>
          <wp:effectExtent l="152400" t="0" r="13716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662940" cy="932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5193665</wp:posOffset>
          </wp:positionH>
          <wp:positionV relativeFrom="paragraph">
            <wp:posOffset>478155</wp:posOffset>
          </wp:positionV>
          <wp:extent cx="944880" cy="390525"/>
          <wp:effectExtent l="0" t="0" r="7620" b="0"/>
          <wp:wrapNone/>
          <wp:docPr id="3" name="Picture 1" descr="INFORM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O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6392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-179070</wp:posOffset>
          </wp:positionV>
          <wp:extent cx="714375" cy="596900"/>
          <wp:effectExtent l="19050" t="0" r="9525" b="0"/>
          <wp:wrapTight wrapText="bothSides">
            <wp:wrapPolygon edited="0">
              <wp:start x="-576" y="0"/>
              <wp:lineTo x="-576" y="20681"/>
              <wp:lineTo x="21888" y="20681"/>
              <wp:lineTo x="21888" y="0"/>
              <wp:lineTo x="-576" y="0"/>
            </wp:wrapPolygon>
          </wp:wrapTight>
          <wp:docPr id="1" name="Picture 0" descr="Zakla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klada log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143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F55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20.05pt;margin-top:25.35pt;width:179.25pt;height:57.05pt;z-index:251659264;mso-position-horizontal-relative:text;mso-position-vertical-relative:text" filled="f" stroked="f">
          <v:textbox style="mso-next-textbox:#_x0000_s2049">
            <w:txbxContent>
              <w:p w:rsidR="00004D89" w:rsidRPr="00F16392" w:rsidRDefault="00004D89" w:rsidP="0044586D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r w:rsidRPr="00F16392">
                  <w:rPr>
                    <w:b/>
                    <w:sz w:val="16"/>
                    <w:szCs w:val="16"/>
                  </w:rPr>
                  <w:t>Zaklada  za poticanje partnerstva i razvoja civilnog društva</w:t>
                </w:r>
              </w:p>
              <w:p w:rsidR="00004D89" w:rsidRPr="00F16392" w:rsidRDefault="00C45F55" w:rsidP="0044586D">
                <w:pPr>
                  <w:spacing w:after="0" w:line="240" w:lineRule="auto"/>
                  <w:rPr>
                    <w:sz w:val="16"/>
                    <w:szCs w:val="16"/>
                  </w:rPr>
                </w:pPr>
                <w:hyperlink r:id="rId5" w:history="1">
                  <w:r w:rsidR="00004D89" w:rsidRPr="00F16392">
                    <w:rPr>
                      <w:rStyle w:val="Hyperlink"/>
                      <w:sz w:val="16"/>
                      <w:szCs w:val="16"/>
                    </w:rPr>
                    <w:t>zaklada@civilnodrustvo-istra.hr</w:t>
                  </w:r>
                </w:hyperlink>
                <w:r w:rsidR="00004D89" w:rsidRPr="00F16392">
                  <w:rPr>
                    <w:sz w:val="16"/>
                    <w:szCs w:val="16"/>
                  </w:rPr>
                  <w:t xml:space="preserve"> </w:t>
                </w:r>
              </w:p>
              <w:p w:rsidR="00004D89" w:rsidRPr="0044586D" w:rsidRDefault="00C45F55" w:rsidP="0044586D">
                <w:pPr>
                  <w:spacing w:after="0" w:line="240" w:lineRule="auto"/>
                  <w:rPr>
                    <w:sz w:val="20"/>
                  </w:rPr>
                </w:pPr>
                <w:hyperlink r:id="rId6" w:history="1">
                  <w:r w:rsidR="00004D89" w:rsidRPr="00F16392">
                    <w:rPr>
                      <w:rStyle w:val="Hyperlink"/>
                      <w:sz w:val="16"/>
                      <w:szCs w:val="16"/>
                    </w:rPr>
                    <w:t>www.zaklada.civilnodrustvo-istra.hr</w:t>
                  </w:r>
                </w:hyperlink>
                <w:r w:rsidR="00004D89">
                  <w:rPr>
                    <w:sz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6251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DCE2684"/>
    <w:multiLevelType w:val="hybridMultilevel"/>
    <w:tmpl w:val="B100F682"/>
    <w:lvl w:ilvl="0" w:tplc="3B8CEF30">
      <w:numFmt w:val="bullet"/>
      <w:lvlText w:val="-"/>
      <w:lvlJc w:val="left"/>
      <w:pPr>
        <w:ind w:left="1770" w:hanging="360"/>
      </w:pPr>
      <w:rPr>
        <w:rFonts w:ascii="Helvetica" w:eastAsiaTheme="minorHAnsi" w:hAnsi="Helvetic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12B67"/>
    <w:rsid w:val="00004D89"/>
    <w:rsid w:val="00032BC0"/>
    <w:rsid w:val="0014384C"/>
    <w:rsid w:val="00157537"/>
    <w:rsid w:val="00162230"/>
    <w:rsid w:val="00162E53"/>
    <w:rsid w:val="00182A16"/>
    <w:rsid w:val="001971E0"/>
    <w:rsid w:val="002615A8"/>
    <w:rsid w:val="00296AE9"/>
    <w:rsid w:val="00312639"/>
    <w:rsid w:val="00331595"/>
    <w:rsid w:val="00340ACE"/>
    <w:rsid w:val="00350567"/>
    <w:rsid w:val="00363840"/>
    <w:rsid w:val="003A5482"/>
    <w:rsid w:val="0044586D"/>
    <w:rsid w:val="00495351"/>
    <w:rsid w:val="00496560"/>
    <w:rsid w:val="00537ED6"/>
    <w:rsid w:val="00557198"/>
    <w:rsid w:val="00580273"/>
    <w:rsid w:val="005C7171"/>
    <w:rsid w:val="00606904"/>
    <w:rsid w:val="006156E6"/>
    <w:rsid w:val="00710C93"/>
    <w:rsid w:val="00735B8A"/>
    <w:rsid w:val="0078142F"/>
    <w:rsid w:val="007A47E3"/>
    <w:rsid w:val="007C790A"/>
    <w:rsid w:val="007F16DE"/>
    <w:rsid w:val="007F41C3"/>
    <w:rsid w:val="008624CE"/>
    <w:rsid w:val="00930379"/>
    <w:rsid w:val="009578B7"/>
    <w:rsid w:val="009D4F83"/>
    <w:rsid w:val="00A302B7"/>
    <w:rsid w:val="00A71965"/>
    <w:rsid w:val="00A843D4"/>
    <w:rsid w:val="00A86531"/>
    <w:rsid w:val="00B70E33"/>
    <w:rsid w:val="00C062E5"/>
    <w:rsid w:val="00C12B67"/>
    <w:rsid w:val="00C154F2"/>
    <w:rsid w:val="00C236B5"/>
    <w:rsid w:val="00C37B1E"/>
    <w:rsid w:val="00C45F55"/>
    <w:rsid w:val="00D2179D"/>
    <w:rsid w:val="00D26455"/>
    <w:rsid w:val="00D30436"/>
    <w:rsid w:val="00D9200B"/>
    <w:rsid w:val="00E53BD4"/>
    <w:rsid w:val="00EF5D11"/>
    <w:rsid w:val="00F13F76"/>
    <w:rsid w:val="00F16392"/>
    <w:rsid w:val="00F85D6A"/>
    <w:rsid w:val="00FB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30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5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86D"/>
  </w:style>
  <w:style w:type="paragraph" w:styleId="Footer">
    <w:name w:val="footer"/>
    <w:basedOn w:val="Normal"/>
    <w:link w:val="FooterChar"/>
    <w:uiPriority w:val="99"/>
    <w:semiHidden/>
    <w:unhideWhenUsed/>
    <w:rsid w:val="00445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86D"/>
  </w:style>
  <w:style w:type="paragraph" w:styleId="BalloonText">
    <w:name w:val="Balloon Text"/>
    <w:basedOn w:val="Normal"/>
    <w:link w:val="BalloonTextChar"/>
    <w:uiPriority w:val="99"/>
    <w:semiHidden/>
    <w:unhideWhenUsed/>
    <w:rsid w:val="0044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8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586D"/>
    <w:rPr>
      <w:color w:val="0000FF" w:themeColor="hyperlink"/>
      <w:u w:val="single"/>
    </w:rPr>
  </w:style>
  <w:style w:type="paragraph" w:customStyle="1" w:styleId="Texte">
    <w:name w:val="Texte"/>
    <w:basedOn w:val="Normal"/>
    <w:rsid w:val="00C37B1E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3"/>
      <w:lang w:val="fr-FR" w:eastAsia="fr-FR" w:bidi="fr-FR"/>
    </w:rPr>
  </w:style>
  <w:style w:type="paragraph" w:styleId="ListParagraph">
    <w:name w:val="List Paragraph"/>
    <w:basedOn w:val="Normal"/>
    <w:uiPriority w:val="34"/>
    <w:qFormat/>
    <w:rsid w:val="00C37B1E"/>
    <w:pPr>
      <w:ind w:left="720"/>
      <w:contextualSpacing/>
    </w:pPr>
  </w:style>
  <w:style w:type="paragraph" w:styleId="NoSpacing">
    <w:name w:val="No Spacing"/>
    <w:uiPriority w:val="1"/>
    <w:qFormat/>
    <w:rsid w:val="003638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hyperlink" Target="http://www.zaklada.civilnodrustvo-istra.hr" TargetMode="External"/><Relationship Id="rId5" Type="http://schemas.openxmlformats.org/officeDocument/2006/relationships/hyperlink" Target="mailto:zaklada@civilnodrustvo-istra.hr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8A5E-000E-425D-8D1D-5744B307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apevec</dc:creator>
  <cp:lastModifiedBy>apevec</cp:lastModifiedBy>
  <cp:revision>3</cp:revision>
  <cp:lastPrinted>2011-05-25T06:55:00Z</cp:lastPrinted>
  <dcterms:created xsi:type="dcterms:W3CDTF">2011-05-25T08:35:00Z</dcterms:created>
  <dcterms:modified xsi:type="dcterms:W3CDTF">2011-06-02T07:33:00Z</dcterms:modified>
</cp:coreProperties>
</file>